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10800" w:type="dxa"/>
        <w:tblLayout w:type="fixed"/>
        <w:tblLook w:val="0600"/>
      </w:tblPr>
      <w:tblGrid>
        <w:gridCol w:w="10800"/>
      </w:tblGrid>
      <w:tr w:rsidR="007620D3" w:rsidRPr="00324655">
        <w:tc>
          <w:tcPr>
            <w:tcW w:w="10800" w:type="dxa"/>
            <w:shd w:val="clear" w:color="auto" w:fill="339999"/>
            <w:tcMar>
              <w:top w:w="100" w:type="dxa"/>
              <w:left w:w="100" w:type="dxa"/>
              <w:bottom w:w="100" w:type="dxa"/>
              <w:right w:w="100" w:type="dxa"/>
            </w:tcMar>
          </w:tcPr>
          <w:p w:rsidR="007620D3" w:rsidRPr="00324655" w:rsidRDefault="006A01D9">
            <w:pPr>
              <w:pStyle w:val="Title"/>
              <w:widowControl w:val="0"/>
              <w:rPr>
                <w:rFonts w:ascii="Centaur" w:hAnsi="Centaur"/>
              </w:rPr>
            </w:pPr>
            <w:bookmarkStart w:id="0" w:name="_gkg8owdn5k66" w:colFirst="0" w:colLast="0"/>
            <w:bookmarkEnd w:id="0"/>
            <w:r w:rsidRPr="00324655">
              <w:rPr>
                <w:rFonts w:ascii="Centaur" w:hAnsi="Centaur"/>
              </w:rPr>
              <w:t xml:space="preserve">Lesson 4 </w:t>
            </w:r>
            <w:r w:rsidRPr="00324655">
              <w:rPr>
                <w:rFonts w:ascii="Centaur" w:hAnsi="Centaur"/>
                <w:b/>
              </w:rPr>
              <w:t>Reading #1</w:t>
            </w:r>
            <w:r w:rsidRPr="00324655">
              <w:rPr>
                <w:rFonts w:ascii="Centaur" w:hAnsi="Centaur"/>
              </w:rPr>
              <w:t>: Mission Critical - Preventing Antibiotic Resistance</w:t>
            </w:r>
          </w:p>
        </w:tc>
      </w:tr>
    </w:tbl>
    <w:p w:rsidR="007620D3" w:rsidRPr="00324655" w:rsidRDefault="007620D3">
      <w:pPr>
        <w:pStyle w:val="normal0"/>
        <w:rPr>
          <w:rFonts w:ascii="Centaur" w:hAnsi="Centaur"/>
          <w:color w:val="434343"/>
        </w:rPr>
      </w:pPr>
    </w:p>
    <w:p w:rsidR="007620D3" w:rsidRPr="00324655" w:rsidRDefault="006A01D9">
      <w:pPr>
        <w:pStyle w:val="Heading1"/>
        <w:keepNext w:val="0"/>
        <w:keepLines w:val="0"/>
        <w:spacing w:after="160" w:line="240" w:lineRule="auto"/>
        <w:ind w:left="220"/>
        <w:jc w:val="center"/>
        <w:rPr>
          <w:rFonts w:ascii="Centaur" w:hAnsi="Centaur"/>
          <w:b/>
          <w:highlight w:val="white"/>
        </w:rPr>
      </w:pPr>
      <w:bookmarkStart w:id="1" w:name="_gxyqk17zg5tt" w:colFirst="0" w:colLast="0"/>
      <w:bookmarkEnd w:id="1"/>
      <w:r w:rsidRPr="00324655">
        <w:rPr>
          <w:rFonts w:ascii="Centaur" w:hAnsi="Centaur"/>
          <w:b/>
          <w:highlight w:val="white"/>
        </w:rPr>
        <w:t>Mission Critical: Preventing Antibiotic Resistance</w:t>
      </w:r>
    </w:p>
    <w:p w:rsidR="007620D3" w:rsidRPr="00324655" w:rsidRDefault="006A01D9">
      <w:pPr>
        <w:pStyle w:val="normal0"/>
        <w:jc w:val="center"/>
        <w:rPr>
          <w:rFonts w:ascii="Centaur" w:hAnsi="Centaur"/>
        </w:rPr>
      </w:pPr>
      <w:r w:rsidRPr="00324655">
        <w:rPr>
          <w:rFonts w:ascii="Centaur" w:hAnsi="Centaur"/>
        </w:rPr>
        <w:t xml:space="preserve">Adapted from: </w:t>
      </w:r>
      <w:hyperlink r:id="rId7">
        <w:r w:rsidRPr="00324655">
          <w:rPr>
            <w:rFonts w:ascii="Centaur" w:hAnsi="Centaur"/>
            <w:color w:val="1155CC"/>
            <w:u w:val="single"/>
          </w:rPr>
          <w:t>http://www.cdc.gov/features/antibioticresistance/</w:t>
        </w:r>
      </w:hyperlink>
      <w:r w:rsidRPr="00324655">
        <w:rPr>
          <w:rFonts w:ascii="Centaur" w:hAnsi="Centaur"/>
        </w:rPr>
        <w:t xml:space="preserve"> </w:t>
      </w:r>
    </w:p>
    <w:p w:rsidR="007620D3" w:rsidRPr="00324655" w:rsidRDefault="006A01D9" w:rsidP="00E0421F">
      <w:pPr>
        <w:pStyle w:val="normal0"/>
        <w:spacing w:after="160" w:line="428" w:lineRule="auto"/>
        <w:ind w:left="220"/>
        <w:rPr>
          <w:rFonts w:ascii="Centaur" w:hAnsi="Centaur"/>
          <w:sz w:val="18"/>
          <w:szCs w:val="18"/>
          <w:highlight w:val="white"/>
        </w:rPr>
      </w:pPr>
      <w:r w:rsidRPr="00324655">
        <w:rPr>
          <w:rFonts w:ascii="Centaur" w:hAnsi="Centaur"/>
          <w:noProof/>
          <w:sz w:val="18"/>
          <w:szCs w:val="18"/>
          <w:highlight w:val="white"/>
        </w:rPr>
        <w:drawing>
          <wp:anchor distT="0" distB="0" distL="114300" distR="114300" simplePos="0" relativeHeight="251658240" behindDoc="0" locked="0" layoutInCell="1" allowOverlap="1">
            <wp:simplePos x="0" y="0"/>
            <wp:positionH relativeFrom="column">
              <wp:posOffset>2295525</wp:posOffset>
            </wp:positionH>
            <wp:positionV relativeFrom="paragraph">
              <wp:align>top</wp:align>
            </wp:positionV>
            <wp:extent cx="3067050" cy="1981200"/>
            <wp:effectExtent l="19050" t="19050" r="19050" b="19050"/>
            <wp:wrapSquare wrapText="bothSides"/>
            <wp:docPr id="2" name="image1.jpg" descr="Photo: Bottles of pills spilling"/>
            <wp:cNvGraphicFramePr/>
            <a:graphic xmlns:a="http://schemas.openxmlformats.org/drawingml/2006/main">
              <a:graphicData uri="http://schemas.openxmlformats.org/drawingml/2006/picture">
                <pic:pic xmlns:pic="http://schemas.openxmlformats.org/drawingml/2006/picture">
                  <pic:nvPicPr>
                    <pic:cNvPr id="0" name="image1.jpg" descr="Photo: Bottles of pills spilling"/>
                    <pic:cNvPicPr preferRelativeResize="0"/>
                  </pic:nvPicPr>
                  <pic:blipFill>
                    <a:blip r:embed="rId8" cstate="print"/>
                    <a:srcRect/>
                    <a:stretch>
                      <a:fillRect/>
                    </a:stretch>
                  </pic:blipFill>
                  <pic:spPr>
                    <a:xfrm>
                      <a:off x="0" y="0"/>
                      <a:ext cx="3067050" cy="1981200"/>
                    </a:xfrm>
                    <a:prstGeom prst="rect">
                      <a:avLst/>
                    </a:prstGeom>
                    <a:ln w="9525">
                      <a:solidFill>
                        <a:srgbClr val="E5E5E5"/>
                      </a:solidFill>
                      <a:prstDash val="solid"/>
                    </a:ln>
                  </pic:spPr>
                </pic:pic>
              </a:graphicData>
            </a:graphic>
          </wp:anchor>
        </w:drawing>
      </w:r>
      <w:r w:rsidR="00E0421F">
        <w:rPr>
          <w:rFonts w:ascii="Centaur" w:hAnsi="Centaur"/>
          <w:sz w:val="18"/>
          <w:szCs w:val="18"/>
          <w:highlight w:val="white"/>
        </w:rPr>
        <w:br w:type="textWrapping" w:clear="all"/>
      </w:r>
    </w:p>
    <w:p w:rsidR="007620D3" w:rsidRPr="00324655" w:rsidRDefault="006A01D9">
      <w:pPr>
        <w:pStyle w:val="normal0"/>
        <w:spacing w:after="160" w:line="360" w:lineRule="auto"/>
        <w:ind w:left="220"/>
        <w:rPr>
          <w:rFonts w:ascii="Centaur" w:hAnsi="Centaur"/>
          <w:highlight w:val="white"/>
        </w:rPr>
      </w:pPr>
      <w:r w:rsidRPr="00324655">
        <w:rPr>
          <w:rFonts w:ascii="Centaur" w:hAnsi="Centaur"/>
          <w:highlight w:val="white"/>
        </w:rPr>
        <w:t>Can you imagine a day when antibiotics don't work anymore?  It's concerning to think that the antibiotics that we depend upon for everything from skin and ear infections to life-threatening bloodstream infections could no longer work.  Unfortunately, the threat of untreatable infections is very real.</w:t>
      </w:r>
    </w:p>
    <w:p w:rsidR="007620D3" w:rsidRPr="00324655" w:rsidRDefault="006A01D9">
      <w:pPr>
        <w:pStyle w:val="normal0"/>
        <w:spacing w:after="160" w:line="360" w:lineRule="auto"/>
        <w:ind w:left="220"/>
        <w:rPr>
          <w:rFonts w:ascii="Centaur" w:hAnsi="Centaur"/>
          <w:highlight w:val="white"/>
        </w:rPr>
      </w:pPr>
      <w:r w:rsidRPr="00324655">
        <w:rPr>
          <w:rFonts w:ascii="Centaur" w:hAnsi="Centaur"/>
          <w:highlight w:val="white"/>
        </w:rPr>
        <w:t>Antibiotic resistance occurs when germs outsmart drugs.  In today's healthcare and community settings, we are already seeing germs stronger than the drugs we have to treat them.  This is an extremely scary situation for patients and healthcare workers alike.</w:t>
      </w:r>
    </w:p>
    <w:p w:rsidR="007620D3" w:rsidRPr="00324655" w:rsidRDefault="006A01D9">
      <w:pPr>
        <w:pStyle w:val="normal0"/>
        <w:spacing w:after="160" w:line="360" w:lineRule="auto"/>
        <w:ind w:left="220"/>
        <w:rPr>
          <w:rFonts w:ascii="Centaur" w:hAnsi="Centaur"/>
          <w:highlight w:val="white"/>
          <w:u w:val="single"/>
        </w:rPr>
      </w:pPr>
      <w:r w:rsidRPr="00324655">
        <w:rPr>
          <w:rFonts w:ascii="Centaur" w:hAnsi="Centaur"/>
          <w:highlight w:val="white"/>
        </w:rPr>
        <w:t xml:space="preserve">So, what is fueling antibiotic resistance, you may ask?  We're finding that the widespread overuse and incorrect prescribing practices are significant problems.  In addition to driving drug resistance, these poor practices introduce unnecessary side effects, allergic reactions, and serious diarrheal infections caused by </w:t>
      </w:r>
      <w:r w:rsidRPr="00324655">
        <w:rPr>
          <w:rFonts w:ascii="Centaur" w:hAnsi="Centaur"/>
          <w:i/>
          <w:highlight w:val="white"/>
        </w:rPr>
        <w:t xml:space="preserve">Clostridium </w:t>
      </w:r>
      <w:proofErr w:type="spellStart"/>
      <w:r w:rsidRPr="00324655">
        <w:rPr>
          <w:rFonts w:ascii="Centaur" w:hAnsi="Centaur"/>
          <w:i/>
          <w:highlight w:val="white"/>
        </w:rPr>
        <w:t>difficile</w:t>
      </w:r>
      <w:proofErr w:type="spellEnd"/>
      <w:r w:rsidRPr="00324655">
        <w:rPr>
          <w:rFonts w:ascii="Centaur" w:hAnsi="Centaur"/>
          <w:highlight w:val="white"/>
        </w:rPr>
        <w:t>.  These complications of antibiotic therapy can have serious outcomes, even death.</w:t>
      </w:r>
      <w:r w:rsidR="009F275E" w:rsidRPr="00324655">
        <w:rPr>
          <w:rFonts w:ascii="Centaur" w:hAnsi="Centaur"/>
        </w:rPr>
        <w:fldChar w:fldCharType="begin"/>
      </w:r>
      <w:r w:rsidRPr="00324655">
        <w:rPr>
          <w:rFonts w:ascii="Centaur" w:hAnsi="Centaur"/>
        </w:rPr>
        <w:instrText xml:space="preserve"> HYPERLINK "http://www.cdc.gov/features/antibioticresistance/charts.html#chartD" </w:instrText>
      </w:r>
      <w:r w:rsidR="009F275E" w:rsidRPr="00324655">
        <w:rPr>
          <w:rFonts w:ascii="Centaur" w:hAnsi="Centaur"/>
        </w:rPr>
        <w:fldChar w:fldCharType="separate"/>
      </w:r>
    </w:p>
    <w:p w:rsidR="007620D3" w:rsidRPr="00324655" w:rsidRDefault="009F275E">
      <w:pPr>
        <w:pStyle w:val="normal0"/>
        <w:spacing w:after="160" w:line="360" w:lineRule="auto"/>
        <w:ind w:left="220"/>
        <w:rPr>
          <w:rFonts w:ascii="Centaur" w:hAnsi="Centaur"/>
          <w:highlight w:val="white"/>
        </w:rPr>
      </w:pPr>
      <w:r w:rsidRPr="00324655">
        <w:rPr>
          <w:rFonts w:ascii="Centaur" w:hAnsi="Centaur"/>
        </w:rPr>
        <w:fldChar w:fldCharType="end"/>
      </w:r>
      <w:r w:rsidR="006A01D9" w:rsidRPr="00324655">
        <w:rPr>
          <w:rFonts w:ascii="Centaur" w:hAnsi="Centaur"/>
          <w:highlight w:val="white"/>
        </w:rPr>
        <w:t xml:space="preserve">According to the Center for Disease Control’s (CDC) </w:t>
      </w:r>
      <w:hyperlink r:id="rId9">
        <w:r w:rsidR="006A01D9" w:rsidRPr="00324655">
          <w:rPr>
            <w:rFonts w:ascii="Centaur" w:hAnsi="Centaur"/>
            <w:highlight w:val="white"/>
            <w:u w:val="single"/>
          </w:rPr>
          <w:t>National Healthcare Safety Network</w:t>
        </w:r>
      </w:hyperlink>
      <w:r w:rsidR="006A01D9" w:rsidRPr="00324655">
        <w:rPr>
          <w:rFonts w:ascii="Centaur" w:hAnsi="Centaur"/>
          <w:highlight w:val="white"/>
        </w:rPr>
        <w:t>, a growing number of healthcare-</w:t>
      </w:r>
      <w:proofErr w:type="gramStart"/>
      <w:r w:rsidR="006A01D9" w:rsidRPr="00324655">
        <w:rPr>
          <w:rFonts w:ascii="Centaur" w:hAnsi="Centaur"/>
          <w:highlight w:val="white"/>
        </w:rPr>
        <w:t>associated</w:t>
      </w:r>
      <w:proofErr w:type="gramEnd"/>
      <w:r w:rsidR="006A01D9" w:rsidRPr="00324655">
        <w:rPr>
          <w:rFonts w:ascii="Centaur" w:hAnsi="Centaur"/>
          <w:highlight w:val="white"/>
        </w:rPr>
        <w:t xml:space="preserve"> infections are caused by bacteria that are resistant to multiple antibiotics. These include: </w:t>
      </w:r>
    </w:p>
    <w:tbl>
      <w:tblPr>
        <w:tblStyle w:val="a0"/>
        <w:tblW w:w="1058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290"/>
        <w:gridCol w:w="5290"/>
      </w:tblGrid>
      <w:tr w:rsidR="007620D3" w:rsidRPr="00324655">
        <w:tc>
          <w:tcPr>
            <w:tcW w:w="5290" w:type="dxa"/>
            <w:shd w:val="clear" w:color="auto" w:fill="auto"/>
            <w:tcMar>
              <w:top w:w="100" w:type="dxa"/>
              <w:left w:w="100" w:type="dxa"/>
              <w:bottom w:w="100" w:type="dxa"/>
              <w:right w:w="100" w:type="dxa"/>
            </w:tcMar>
          </w:tcPr>
          <w:p w:rsidR="007620D3" w:rsidRPr="00324655" w:rsidRDefault="006A01D9" w:rsidP="00324655">
            <w:pPr>
              <w:pStyle w:val="normal0"/>
              <w:numPr>
                <w:ilvl w:val="0"/>
                <w:numId w:val="4"/>
              </w:numPr>
              <w:spacing w:line="360" w:lineRule="auto"/>
              <w:rPr>
                <w:rFonts w:ascii="Centaur" w:hAnsi="Centaur"/>
                <w:highlight w:val="white"/>
              </w:rPr>
            </w:pPr>
            <w:r w:rsidRPr="00324655">
              <w:rPr>
                <w:rFonts w:ascii="Centaur" w:hAnsi="Centaur"/>
                <w:highlight w:val="white"/>
              </w:rPr>
              <w:t>MRSA</w:t>
            </w:r>
          </w:p>
          <w:p w:rsidR="007620D3" w:rsidRPr="00324655" w:rsidRDefault="006A01D9" w:rsidP="00324655">
            <w:pPr>
              <w:pStyle w:val="normal0"/>
              <w:numPr>
                <w:ilvl w:val="0"/>
                <w:numId w:val="4"/>
              </w:numPr>
              <w:spacing w:line="360" w:lineRule="auto"/>
              <w:rPr>
                <w:rFonts w:ascii="Centaur" w:hAnsi="Centaur"/>
                <w:highlight w:val="white"/>
              </w:rPr>
            </w:pPr>
            <w:proofErr w:type="spellStart"/>
            <w:r w:rsidRPr="00324655">
              <w:rPr>
                <w:rFonts w:ascii="Centaur" w:hAnsi="Centaur"/>
                <w:highlight w:val="white"/>
              </w:rPr>
              <w:t>vancomycin</w:t>
            </w:r>
            <w:proofErr w:type="spellEnd"/>
            <w:r w:rsidRPr="00324655">
              <w:rPr>
                <w:rFonts w:ascii="Centaur" w:hAnsi="Centaur"/>
                <w:highlight w:val="white"/>
              </w:rPr>
              <w:t xml:space="preserve">-resistant </w:t>
            </w:r>
            <w:proofErr w:type="spellStart"/>
            <w:r w:rsidRPr="00324655">
              <w:rPr>
                <w:rFonts w:ascii="Centaur" w:hAnsi="Centaur"/>
                <w:i/>
                <w:highlight w:val="white"/>
              </w:rPr>
              <w:t>Enterococcus</w:t>
            </w:r>
            <w:proofErr w:type="spellEnd"/>
          </w:p>
          <w:p w:rsidR="007620D3" w:rsidRPr="00324655" w:rsidRDefault="006A01D9" w:rsidP="00324655">
            <w:pPr>
              <w:pStyle w:val="normal0"/>
              <w:numPr>
                <w:ilvl w:val="0"/>
                <w:numId w:val="4"/>
              </w:numPr>
              <w:spacing w:after="160" w:line="360" w:lineRule="auto"/>
              <w:rPr>
                <w:rFonts w:ascii="Centaur" w:hAnsi="Centaur"/>
                <w:highlight w:val="white"/>
              </w:rPr>
            </w:pPr>
            <w:r w:rsidRPr="00324655">
              <w:rPr>
                <w:rFonts w:ascii="Centaur" w:hAnsi="Centaur"/>
                <w:highlight w:val="white"/>
              </w:rPr>
              <w:t xml:space="preserve">extended-spectrum </w:t>
            </w:r>
            <w:proofErr w:type="spellStart"/>
            <w:r w:rsidRPr="00324655">
              <w:rPr>
                <w:rFonts w:ascii="Centaur" w:hAnsi="Centaur"/>
                <w:highlight w:val="white"/>
              </w:rPr>
              <w:t>ephalosporin</w:t>
            </w:r>
            <w:proofErr w:type="spellEnd"/>
            <w:r w:rsidRPr="00324655">
              <w:rPr>
                <w:rFonts w:ascii="Centaur" w:hAnsi="Centaur"/>
                <w:highlight w:val="white"/>
              </w:rPr>
              <w:t xml:space="preserve">-resistant </w:t>
            </w:r>
            <w:r w:rsidRPr="00324655">
              <w:rPr>
                <w:rFonts w:ascii="Centaur" w:hAnsi="Centaur"/>
                <w:i/>
                <w:highlight w:val="white"/>
              </w:rPr>
              <w:t>K.</w:t>
            </w:r>
          </w:p>
        </w:tc>
        <w:tc>
          <w:tcPr>
            <w:tcW w:w="5290" w:type="dxa"/>
            <w:shd w:val="clear" w:color="auto" w:fill="auto"/>
            <w:tcMar>
              <w:top w:w="100" w:type="dxa"/>
              <w:left w:w="100" w:type="dxa"/>
              <w:bottom w:w="100" w:type="dxa"/>
              <w:right w:w="100" w:type="dxa"/>
            </w:tcMar>
          </w:tcPr>
          <w:p w:rsidR="007620D3" w:rsidRPr="00324655" w:rsidRDefault="006A01D9">
            <w:pPr>
              <w:pStyle w:val="normal0"/>
              <w:numPr>
                <w:ilvl w:val="0"/>
                <w:numId w:val="2"/>
              </w:numPr>
              <w:spacing w:line="360" w:lineRule="auto"/>
              <w:rPr>
                <w:rFonts w:ascii="Centaur" w:hAnsi="Centaur"/>
                <w:highlight w:val="white"/>
              </w:rPr>
            </w:pPr>
            <w:r w:rsidRPr="00324655">
              <w:rPr>
                <w:rFonts w:ascii="Centaur" w:hAnsi="Centaur"/>
                <w:i/>
                <w:highlight w:val="white"/>
              </w:rPr>
              <w:t>E. coli</w:t>
            </w:r>
            <w:r w:rsidRPr="00324655">
              <w:rPr>
                <w:rFonts w:ascii="Centaur" w:hAnsi="Centaur"/>
                <w:highlight w:val="white"/>
              </w:rPr>
              <w:t xml:space="preserve"> and </w:t>
            </w:r>
            <w:proofErr w:type="spellStart"/>
            <w:r w:rsidRPr="00324655">
              <w:rPr>
                <w:rFonts w:ascii="Centaur" w:hAnsi="Centaur"/>
                <w:i/>
                <w:highlight w:val="white"/>
              </w:rPr>
              <w:t>Enterobacter</w:t>
            </w:r>
            <w:proofErr w:type="spellEnd"/>
            <w:r w:rsidRPr="00324655">
              <w:rPr>
                <w:rFonts w:ascii="Centaur" w:hAnsi="Centaur"/>
                <w:highlight w:val="white"/>
              </w:rPr>
              <w:t xml:space="preserve"> spp.</w:t>
            </w:r>
          </w:p>
          <w:p w:rsidR="007620D3" w:rsidRPr="00324655" w:rsidRDefault="006A01D9">
            <w:pPr>
              <w:pStyle w:val="normal0"/>
              <w:numPr>
                <w:ilvl w:val="0"/>
                <w:numId w:val="2"/>
              </w:numPr>
              <w:spacing w:line="360" w:lineRule="auto"/>
              <w:rPr>
                <w:rFonts w:ascii="Centaur" w:hAnsi="Centaur"/>
                <w:highlight w:val="white"/>
              </w:rPr>
            </w:pPr>
            <w:proofErr w:type="spellStart"/>
            <w:r w:rsidRPr="00324655">
              <w:rPr>
                <w:rFonts w:ascii="Centaur" w:hAnsi="Centaur"/>
                <w:highlight w:val="white"/>
              </w:rPr>
              <w:t>carbapenem</w:t>
            </w:r>
            <w:proofErr w:type="spellEnd"/>
            <w:r w:rsidRPr="00324655">
              <w:rPr>
                <w:rFonts w:ascii="Centaur" w:hAnsi="Centaur"/>
                <w:highlight w:val="white"/>
              </w:rPr>
              <w:t xml:space="preserve">-resistant </w:t>
            </w:r>
            <w:r w:rsidRPr="00324655">
              <w:rPr>
                <w:rFonts w:ascii="Centaur" w:hAnsi="Centaur"/>
                <w:i/>
                <w:highlight w:val="white"/>
              </w:rPr>
              <w:t xml:space="preserve">P. </w:t>
            </w:r>
            <w:proofErr w:type="spellStart"/>
            <w:r w:rsidRPr="00324655">
              <w:rPr>
                <w:rFonts w:ascii="Centaur" w:hAnsi="Centaur"/>
                <w:i/>
                <w:highlight w:val="white"/>
              </w:rPr>
              <w:t>aeruginosa</w:t>
            </w:r>
            <w:proofErr w:type="spellEnd"/>
          </w:p>
          <w:p w:rsidR="007620D3" w:rsidRPr="00324655" w:rsidRDefault="006A01D9">
            <w:pPr>
              <w:pStyle w:val="normal0"/>
              <w:numPr>
                <w:ilvl w:val="0"/>
                <w:numId w:val="2"/>
              </w:numPr>
              <w:spacing w:after="160" w:line="360" w:lineRule="auto"/>
              <w:rPr>
                <w:rFonts w:ascii="Centaur" w:hAnsi="Centaur"/>
                <w:highlight w:val="white"/>
              </w:rPr>
            </w:pPr>
            <w:proofErr w:type="spellStart"/>
            <w:r w:rsidRPr="00324655">
              <w:rPr>
                <w:rFonts w:ascii="Centaur" w:hAnsi="Centaur"/>
                <w:highlight w:val="white"/>
              </w:rPr>
              <w:t>carbapenem</w:t>
            </w:r>
            <w:proofErr w:type="spellEnd"/>
            <w:r w:rsidRPr="00324655">
              <w:rPr>
                <w:rFonts w:ascii="Centaur" w:hAnsi="Centaur"/>
                <w:highlight w:val="white"/>
              </w:rPr>
              <w:t xml:space="preserve">-resistant </w:t>
            </w:r>
            <w:r w:rsidRPr="00324655">
              <w:rPr>
                <w:rFonts w:ascii="Centaur" w:hAnsi="Centaur"/>
                <w:i/>
                <w:highlight w:val="white"/>
              </w:rPr>
              <w:t>K. pneumonia</w:t>
            </w:r>
            <w:r w:rsidRPr="00324655">
              <w:rPr>
                <w:rFonts w:ascii="Centaur" w:hAnsi="Centaur"/>
                <w:highlight w:val="white"/>
              </w:rPr>
              <w:t xml:space="preserve"> (and </w:t>
            </w:r>
            <w:r w:rsidRPr="00324655">
              <w:rPr>
                <w:rFonts w:ascii="Centaur" w:hAnsi="Centaur"/>
                <w:i/>
                <w:highlight w:val="white"/>
              </w:rPr>
              <w:t xml:space="preserve">K. </w:t>
            </w:r>
            <w:proofErr w:type="spellStart"/>
            <w:r w:rsidRPr="00324655">
              <w:rPr>
                <w:rFonts w:ascii="Centaur" w:hAnsi="Centaur"/>
                <w:i/>
                <w:highlight w:val="white"/>
              </w:rPr>
              <w:t>oxytoca</w:t>
            </w:r>
            <w:proofErr w:type="spellEnd"/>
            <w:r w:rsidRPr="00324655">
              <w:rPr>
                <w:rFonts w:ascii="Centaur" w:hAnsi="Centaur"/>
                <w:highlight w:val="white"/>
              </w:rPr>
              <w:t>)</w:t>
            </w:r>
          </w:p>
        </w:tc>
      </w:tr>
    </w:tbl>
    <w:p w:rsidR="007620D3" w:rsidRPr="00324655" w:rsidRDefault="007620D3">
      <w:pPr>
        <w:pStyle w:val="Heading3"/>
        <w:keepNext w:val="0"/>
        <w:keepLines w:val="0"/>
        <w:spacing w:before="160" w:after="160" w:line="240" w:lineRule="auto"/>
        <w:rPr>
          <w:rFonts w:ascii="Centaur" w:hAnsi="Centaur"/>
          <w:b/>
          <w:color w:val="000000"/>
          <w:sz w:val="22"/>
          <w:szCs w:val="22"/>
          <w:highlight w:val="white"/>
        </w:rPr>
      </w:pPr>
      <w:bookmarkStart w:id="2" w:name="_7m8qn721vpsb" w:colFirst="0" w:colLast="0"/>
      <w:bookmarkEnd w:id="2"/>
    </w:p>
    <w:p w:rsidR="00E0421F" w:rsidRDefault="00E0421F">
      <w:pPr>
        <w:pStyle w:val="Heading3"/>
        <w:keepNext w:val="0"/>
        <w:keepLines w:val="0"/>
        <w:spacing w:before="160" w:after="160" w:line="240" w:lineRule="auto"/>
        <w:rPr>
          <w:rFonts w:ascii="Centaur" w:hAnsi="Centaur"/>
          <w:b/>
          <w:color w:val="000000"/>
          <w:sz w:val="22"/>
          <w:szCs w:val="22"/>
          <w:highlight w:val="white"/>
        </w:rPr>
      </w:pPr>
      <w:bookmarkStart w:id="3" w:name="_7pr0o85tmkmx" w:colFirst="0" w:colLast="0"/>
      <w:bookmarkEnd w:id="3"/>
    </w:p>
    <w:p w:rsidR="007620D3" w:rsidRPr="00324655" w:rsidRDefault="006A01D9">
      <w:pPr>
        <w:pStyle w:val="Heading3"/>
        <w:keepNext w:val="0"/>
        <w:keepLines w:val="0"/>
        <w:spacing w:before="160" w:after="160" w:line="240" w:lineRule="auto"/>
        <w:rPr>
          <w:rFonts w:ascii="Centaur" w:hAnsi="Centaur"/>
          <w:b/>
          <w:color w:val="000000"/>
          <w:sz w:val="22"/>
          <w:szCs w:val="22"/>
          <w:highlight w:val="white"/>
        </w:rPr>
      </w:pPr>
      <w:r w:rsidRPr="00324655">
        <w:rPr>
          <w:rFonts w:ascii="Centaur" w:hAnsi="Centaur"/>
          <w:b/>
          <w:color w:val="000000"/>
          <w:sz w:val="22"/>
          <w:szCs w:val="22"/>
          <w:highlight w:val="white"/>
        </w:rPr>
        <w:lastRenderedPageBreak/>
        <w:t>So, what can we do to prevent antibiotic resistance in healthcare settings?</w:t>
      </w:r>
    </w:p>
    <w:p w:rsidR="007620D3" w:rsidRPr="00324655" w:rsidRDefault="006A01D9">
      <w:pPr>
        <w:pStyle w:val="normal0"/>
        <w:spacing w:after="160" w:line="360" w:lineRule="auto"/>
        <w:rPr>
          <w:rFonts w:ascii="Centaur" w:hAnsi="Centaur"/>
          <w:highlight w:val="white"/>
        </w:rPr>
      </w:pPr>
      <w:r w:rsidRPr="00324655">
        <w:rPr>
          <w:rFonts w:ascii="Centaur" w:hAnsi="Centaur"/>
          <w:highlight w:val="white"/>
        </w:rPr>
        <w:t>Patients, healthcare providers, healthcare facility administrators, and policy makers must work together to employ effective strategies for improving antibiotic use—ultimately improving medical care and saving lives.</w:t>
      </w:r>
    </w:p>
    <w:p w:rsidR="007620D3" w:rsidRPr="00324655" w:rsidRDefault="006A01D9">
      <w:pPr>
        <w:pStyle w:val="Heading4"/>
        <w:keepNext w:val="0"/>
        <w:keepLines w:val="0"/>
        <w:spacing w:before="160" w:after="0" w:line="480" w:lineRule="auto"/>
        <w:rPr>
          <w:rFonts w:ascii="Centaur" w:hAnsi="Centaur"/>
          <w:b/>
          <w:color w:val="000000"/>
          <w:sz w:val="22"/>
          <w:szCs w:val="22"/>
          <w:highlight w:val="white"/>
        </w:rPr>
      </w:pPr>
      <w:bookmarkStart w:id="4" w:name="_o7a5gdfghgxg" w:colFirst="0" w:colLast="0"/>
      <w:bookmarkEnd w:id="4"/>
      <w:r w:rsidRPr="00324655">
        <w:rPr>
          <w:rFonts w:ascii="Centaur" w:hAnsi="Centaur"/>
          <w:b/>
          <w:color w:val="000000"/>
          <w:sz w:val="22"/>
          <w:szCs w:val="22"/>
          <w:highlight w:val="white"/>
        </w:rPr>
        <w:t>Patients can:</w:t>
      </w:r>
    </w:p>
    <w:p w:rsidR="007620D3" w:rsidRPr="00324655" w:rsidRDefault="006A01D9">
      <w:pPr>
        <w:pStyle w:val="normal0"/>
        <w:numPr>
          <w:ilvl w:val="0"/>
          <w:numId w:val="3"/>
        </w:numPr>
        <w:spacing w:line="360" w:lineRule="auto"/>
        <w:ind w:left="1080"/>
        <w:rPr>
          <w:rFonts w:ascii="Centaur" w:hAnsi="Centaur"/>
        </w:rPr>
      </w:pPr>
      <w:r w:rsidRPr="00324655">
        <w:rPr>
          <w:rFonts w:ascii="Centaur" w:hAnsi="Centaur"/>
          <w:highlight w:val="white"/>
        </w:rPr>
        <w:t>Ask if tests will be done to make sure the right antibiotic is prescribed.</w:t>
      </w:r>
    </w:p>
    <w:p w:rsidR="007620D3" w:rsidRPr="00324655" w:rsidRDefault="006A01D9">
      <w:pPr>
        <w:pStyle w:val="normal0"/>
        <w:numPr>
          <w:ilvl w:val="0"/>
          <w:numId w:val="3"/>
        </w:numPr>
        <w:spacing w:line="360" w:lineRule="auto"/>
        <w:ind w:left="1080"/>
        <w:rPr>
          <w:rFonts w:ascii="Centaur" w:hAnsi="Centaur"/>
        </w:rPr>
      </w:pPr>
      <w:r w:rsidRPr="00324655">
        <w:rPr>
          <w:rFonts w:ascii="Centaur" w:hAnsi="Centaur"/>
          <w:highlight w:val="white"/>
        </w:rPr>
        <w:t>Take antibiotics exactly as the doctor prescribes.  Do not skip doses.  Complete the prescribed course of treatment, even when you start feeling better.</w:t>
      </w:r>
    </w:p>
    <w:p w:rsidR="007620D3" w:rsidRPr="00324655" w:rsidRDefault="006A01D9">
      <w:pPr>
        <w:pStyle w:val="normal0"/>
        <w:numPr>
          <w:ilvl w:val="0"/>
          <w:numId w:val="3"/>
        </w:numPr>
        <w:spacing w:line="360" w:lineRule="auto"/>
        <w:ind w:left="1080"/>
        <w:rPr>
          <w:rFonts w:ascii="Centaur" w:hAnsi="Centaur"/>
        </w:rPr>
      </w:pPr>
      <w:r w:rsidRPr="00324655">
        <w:rPr>
          <w:rFonts w:ascii="Centaur" w:hAnsi="Centaur"/>
          <w:highlight w:val="white"/>
        </w:rPr>
        <w:t>Only take antibiotics prescribed for you; do not share or use leftover antibiotics.  Antibiotics treat specific types of infections.  Taking the wrong medicine may delay correct treatment and allow bacteria to multiply.</w:t>
      </w:r>
    </w:p>
    <w:p w:rsidR="007620D3" w:rsidRPr="00324655" w:rsidRDefault="006A01D9">
      <w:pPr>
        <w:pStyle w:val="normal0"/>
        <w:numPr>
          <w:ilvl w:val="0"/>
          <w:numId w:val="3"/>
        </w:numPr>
        <w:spacing w:line="360" w:lineRule="auto"/>
        <w:ind w:left="1080"/>
        <w:rPr>
          <w:rFonts w:ascii="Centaur" w:hAnsi="Centaur"/>
        </w:rPr>
      </w:pPr>
      <w:r w:rsidRPr="00324655">
        <w:rPr>
          <w:rFonts w:ascii="Centaur" w:hAnsi="Centaur"/>
          <w:highlight w:val="white"/>
        </w:rPr>
        <w:t>Do not save antibiotics for the next illness.  Discard any leftover medication once the prescribed course of treatment is completed.</w:t>
      </w:r>
    </w:p>
    <w:p w:rsidR="007620D3" w:rsidRPr="00324655" w:rsidRDefault="006A01D9">
      <w:pPr>
        <w:pStyle w:val="normal0"/>
        <w:numPr>
          <w:ilvl w:val="0"/>
          <w:numId w:val="3"/>
        </w:numPr>
        <w:spacing w:line="360" w:lineRule="auto"/>
        <w:ind w:left="1080"/>
        <w:rPr>
          <w:rFonts w:ascii="Centaur" w:hAnsi="Centaur"/>
        </w:rPr>
      </w:pPr>
      <w:r w:rsidRPr="00324655">
        <w:rPr>
          <w:rFonts w:ascii="Centaur" w:hAnsi="Centaur"/>
          <w:highlight w:val="white"/>
        </w:rPr>
        <w:t>Do not ask for antibiotics when your doctor thinks you do not need them.  Remember antibiotics have side effects.</w:t>
      </w:r>
    </w:p>
    <w:p w:rsidR="007620D3" w:rsidRPr="00324655" w:rsidRDefault="006A01D9">
      <w:pPr>
        <w:pStyle w:val="normal0"/>
        <w:numPr>
          <w:ilvl w:val="0"/>
          <w:numId w:val="3"/>
        </w:numPr>
        <w:spacing w:after="160" w:line="360" w:lineRule="auto"/>
        <w:ind w:left="1080"/>
        <w:rPr>
          <w:rFonts w:ascii="Centaur" w:hAnsi="Centaur"/>
        </w:rPr>
      </w:pPr>
      <w:r w:rsidRPr="00324655">
        <w:rPr>
          <w:rFonts w:ascii="Centaur" w:hAnsi="Centaur"/>
          <w:highlight w:val="white"/>
        </w:rPr>
        <w:t>Prevent infections by practicing good hand hygiene and getting recommended vaccines.</w:t>
      </w:r>
    </w:p>
    <w:p w:rsidR="007620D3" w:rsidRPr="00324655" w:rsidRDefault="007620D3">
      <w:pPr>
        <w:pStyle w:val="normal0"/>
        <w:rPr>
          <w:rFonts w:ascii="Centaur" w:eastAsia="Arial" w:hAnsi="Centaur" w:cs="Arial"/>
        </w:rPr>
      </w:pPr>
    </w:p>
    <w:p w:rsidR="007620D3" w:rsidRPr="00324655" w:rsidRDefault="007620D3">
      <w:pPr>
        <w:pStyle w:val="normal0"/>
        <w:rPr>
          <w:rFonts w:ascii="Centaur" w:eastAsia="Arial" w:hAnsi="Centaur" w:cs="Arial"/>
          <w:b/>
          <w:sz w:val="33"/>
          <w:szCs w:val="33"/>
          <w:highlight w:val="white"/>
        </w:rPr>
      </w:pPr>
    </w:p>
    <w:p w:rsidR="007620D3" w:rsidRPr="00324655" w:rsidRDefault="007620D3">
      <w:pPr>
        <w:pStyle w:val="normal0"/>
        <w:spacing w:line="240" w:lineRule="auto"/>
        <w:ind w:left="360"/>
        <w:rPr>
          <w:rFonts w:ascii="Centaur" w:eastAsia="Arial" w:hAnsi="Centaur" w:cs="Arial"/>
          <w:sz w:val="12"/>
          <w:szCs w:val="12"/>
        </w:rPr>
      </w:pPr>
    </w:p>
    <w:p w:rsidR="007620D3" w:rsidRPr="00324655" w:rsidRDefault="007620D3">
      <w:pPr>
        <w:pStyle w:val="normal0"/>
        <w:rPr>
          <w:rFonts w:ascii="Centaur" w:hAnsi="Centaur"/>
        </w:rPr>
      </w:pPr>
    </w:p>
    <w:sectPr w:rsidR="007620D3" w:rsidRPr="00324655" w:rsidSect="00324655">
      <w:footerReference w:type="default" r:id="rId10"/>
      <w:headerReference w:type="first" r:id="rId11"/>
      <w:footerReference w:type="first" r:id="rId12"/>
      <w:pgSz w:w="12240" w:h="15840"/>
      <w:pgMar w:top="720" w:right="720" w:bottom="720" w:left="720"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DA5" w:rsidRDefault="00520DA5" w:rsidP="007620D3">
      <w:pPr>
        <w:spacing w:line="240" w:lineRule="auto"/>
      </w:pPr>
      <w:r>
        <w:separator/>
      </w:r>
    </w:p>
  </w:endnote>
  <w:endnote w:type="continuationSeparator" w:id="0">
    <w:p w:rsidR="00520DA5" w:rsidRDefault="00520DA5" w:rsidP="007620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Raleway">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D3" w:rsidRDefault="009F275E">
    <w:pPr>
      <w:pStyle w:val="normal0"/>
      <w:jc w:val="right"/>
    </w:pPr>
    <w:r>
      <w:fldChar w:fldCharType="begin"/>
    </w:r>
    <w:r w:rsidR="006A01D9">
      <w:instrText>PAGE</w:instrText>
    </w:r>
    <w:r>
      <w:fldChar w:fldCharType="separate"/>
    </w:r>
    <w:r w:rsidR="00E0421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D3" w:rsidRDefault="007620D3">
    <w:pPr>
      <w:pStyle w:val="normal0"/>
      <w:spacing w:line="240" w:lineRule="auto"/>
      <w:rPr>
        <w:sz w:val="12"/>
        <w:szCs w:val="12"/>
      </w:rPr>
    </w:pPr>
  </w:p>
  <w:tbl>
    <w:tblPr>
      <w:tblStyle w:val="a2"/>
      <w:tblW w:w="9687" w:type="dxa"/>
      <w:tblInd w:w="100" w:type="dxa"/>
      <w:tblLayout w:type="fixed"/>
      <w:tblLook w:val="0600"/>
    </w:tblPr>
    <w:tblGrid>
      <w:gridCol w:w="5284"/>
      <w:gridCol w:w="320"/>
      <w:gridCol w:w="3794"/>
      <w:gridCol w:w="289"/>
    </w:tblGrid>
    <w:tr w:rsidR="00324655" w:rsidTr="00324655">
      <w:trPr>
        <w:trHeight w:val="995"/>
      </w:trPr>
      <w:tc>
        <w:tcPr>
          <w:tcW w:w="5284" w:type="dxa"/>
          <w:tcBorders>
            <w:top w:val="nil"/>
            <w:left w:val="nil"/>
            <w:bottom w:val="nil"/>
            <w:right w:val="nil"/>
          </w:tcBorders>
          <w:tcMar>
            <w:top w:w="100" w:type="dxa"/>
            <w:left w:w="100" w:type="dxa"/>
            <w:bottom w:w="100" w:type="dxa"/>
            <w:right w:w="100" w:type="dxa"/>
          </w:tcMar>
          <w:vAlign w:val="center"/>
        </w:tcPr>
        <w:p w:rsidR="00324655" w:rsidRDefault="00324655">
          <w:pPr>
            <w:pStyle w:val="normal0"/>
            <w:spacing w:line="288" w:lineRule="auto"/>
            <w:ind w:left="100"/>
            <w:rPr>
              <w:rFonts w:ascii="Times New Roman" w:eastAsia="Times New Roman" w:hAnsi="Times New Roman" w:cs="Times New Roman"/>
              <w:i/>
              <w:color w:val="666666"/>
              <w:sz w:val="12"/>
              <w:szCs w:val="12"/>
              <w:highlight w:val="white"/>
            </w:rPr>
          </w:pPr>
          <w:r>
            <w:rPr>
              <w:rFonts w:ascii="Times New Roman" w:eastAsia="Times New Roman" w:hAnsi="Times New Roman" w:cs="Times New Roman"/>
              <w:i/>
              <w:color w:val="666666"/>
              <w:sz w:val="12"/>
              <w:szCs w:val="12"/>
              <w:highlight w:val="white"/>
            </w:rPr>
            <w:t>These materials were developed with funding through grants from the National Science Foundation, the Gordon and Betty Moore Foundation, Denver Public Schools to Northwestern University and the University of Colorado Boulder.</w:t>
          </w:r>
        </w:p>
      </w:tc>
      <w:tc>
        <w:tcPr>
          <w:tcW w:w="320" w:type="dxa"/>
          <w:shd w:val="clear" w:color="auto" w:fill="auto"/>
          <w:tcMar>
            <w:top w:w="0" w:type="dxa"/>
            <w:left w:w="0" w:type="dxa"/>
            <w:bottom w:w="0" w:type="dxa"/>
            <w:right w:w="0" w:type="dxa"/>
          </w:tcMar>
          <w:vAlign w:val="center"/>
        </w:tcPr>
        <w:p w:rsidR="00324655" w:rsidRDefault="00324655">
          <w:pPr>
            <w:pStyle w:val="normal0"/>
            <w:widowControl w:val="0"/>
            <w:spacing w:line="240" w:lineRule="auto"/>
            <w:rPr>
              <w:sz w:val="12"/>
              <w:szCs w:val="12"/>
            </w:rPr>
          </w:pPr>
        </w:p>
      </w:tc>
      <w:tc>
        <w:tcPr>
          <w:tcW w:w="3794" w:type="dxa"/>
          <w:shd w:val="clear" w:color="auto" w:fill="auto"/>
          <w:tcMar>
            <w:top w:w="0" w:type="dxa"/>
            <w:left w:w="0" w:type="dxa"/>
            <w:bottom w:w="0" w:type="dxa"/>
            <w:right w:w="0" w:type="dxa"/>
          </w:tcMar>
          <w:vAlign w:val="center"/>
        </w:tcPr>
        <w:p w:rsidR="00324655" w:rsidRDefault="00324655" w:rsidP="00324655">
          <w:pPr>
            <w:pStyle w:val="normal0"/>
            <w:widowControl w:val="0"/>
            <w:spacing w:line="240" w:lineRule="auto"/>
            <w:ind w:right="38"/>
            <w:rPr>
              <w:sz w:val="12"/>
              <w:szCs w:val="12"/>
            </w:rPr>
          </w:pPr>
          <w:r>
            <w:rPr>
              <w:color w:val="666666"/>
              <w:sz w:val="12"/>
              <w:szCs w:val="12"/>
            </w:rPr>
            <w:t xml:space="preserve">This work is licensed under a Creative Commons Attribution 4.0 License   </w:t>
          </w:r>
          <w:hyperlink r:id="rId1">
            <w:r>
              <w:rPr>
                <w:color w:val="666666"/>
                <w:sz w:val="12"/>
                <w:szCs w:val="12"/>
                <w:u w:val="single"/>
              </w:rPr>
              <w:t>http://creativecommons.org/licenses/by/4.0/</w:t>
            </w:r>
          </w:hyperlink>
        </w:p>
      </w:tc>
      <w:tc>
        <w:tcPr>
          <w:tcW w:w="289" w:type="dxa"/>
          <w:shd w:val="clear" w:color="auto" w:fill="auto"/>
          <w:tcMar>
            <w:top w:w="0" w:type="dxa"/>
            <w:left w:w="0" w:type="dxa"/>
            <w:bottom w:w="0" w:type="dxa"/>
            <w:right w:w="0" w:type="dxa"/>
          </w:tcMar>
          <w:vAlign w:val="center"/>
        </w:tcPr>
        <w:p w:rsidR="00324655" w:rsidRDefault="00324655">
          <w:pPr>
            <w:pStyle w:val="normal0"/>
            <w:spacing w:line="240" w:lineRule="auto"/>
            <w:jc w:val="right"/>
            <w:rPr>
              <w:sz w:val="12"/>
              <w:szCs w:val="12"/>
            </w:rPr>
          </w:pPr>
        </w:p>
      </w:tc>
    </w:tr>
  </w:tbl>
  <w:p w:rsidR="00324655" w:rsidRDefault="009F275E" w:rsidP="00324655">
    <w:pPr>
      <w:pStyle w:val="normal0"/>
      <w:spacing w:line="240" w:lineRule="auto"/>
      <w:jc w:val="right"/>
    </w:pPr>
    <w:fldSimple w:instr="PAGE">
      <w:r w:rsidR="00E0421F">
        <w:rPr>
          <w:noProof/>
        </w:rPr>
        <w:t>1</w:t>
      </w:r>
    </w:fldSimple>
  </w:p>
  <w:p w:rsidR="007620D3" w:rsidRDefault="007620D3">
    <w:pPr>
      <w:pStyle w:val="normal0"/>
      <w:spacing w:line="240" w:lineRule="auto"/>
    </w:pPr>
  </w:p>
  <w:p w:rsidR="00324655" w:rsidRDefault="003246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DA5" w:rsidRDefault="00520DA5" w:rsidP="007620D3">
      <w:pPr>
        <w:spacing w:line="240" w:lineRule="auto"/>
      </w:pPr>
      <w:r>
        <w:separator/>
      </w:r>
    </w:p>
  </w:footnote>
  <w:footnote w:type="continuationSeparator" w:id="0">
    <w:p w:rsidR="00520DA5" w:rsidRDefault="00520DA5" w:rsidP="007620D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D3" w:rsidRDefault="007620D3">
    <w:pPr>
      <w:pStyle w:val="normal0"/>
    </w:pPr>
  </w:p>
  <w:p w:rsidR="007620D3" w:rsidRDefault="007620D3">
    <w:pPr>
      <w:pStyle w:val="normal0"/>
    </w:pPr>
  </w:p>
  <w:tbl>
    <w:tblPr>
      <w:tblStyle w:val="a1"/>
      <w:tblW w:w="10966" w:type="dxa"/>
      <w:jc w:val="center"/>
      <w:tblLayout w:type="fixed"/>
      <w:tblLook w:val="0600"/>
    </w:tblPr>
    <w:tblGrid>
      <w:gridCol w:w="5408"/>
      <w:gridCol w:w="1628"/>
      <w:gridCol w:w="3930"/>
    </w:tblGrid>
    <w:tr w:rsidR="007620D3" w:rsidTr="00E0421F">
      <w:trPr>
        <w:trHeight w:val="215"/>
        <w:jc w:val="center"/>
      </w:trPr>
      <w:tc>
        <w:tcPr>
          <w:tcW w:w="5408" w:type="dxa"/>
          <w:shd w:val="clear" w:color="auto" w:fill="F3F3F3"/>
          <w:tcMar>
            <w:top w:w="100" w:type="dxa"/>
            <w:left w:w="100" w:type="dxa"/>
            <w:bottom w:w="100" w:type="dxa"/>
            <w:right w:w="100" w:type="dxa"/>
          </w:tcMar>
        </w:tcPr>
        <w:p w:rsidR="007620D3" w:rsidRPr="009E22E2" w:rsidRDefault="006A01D9">
          <w:pPr>
            <w:pStyle w:val="normal0"/>
            <w:widowControl w:val="0"/>
            <w:spacing w:line="240" w:lineRule="auto"/>
            <w:rPr>
              <w:rFonts w:ascii="Centaur" w:eastAsia="Raleway" w:hAnsi="Centaur" w:cs="Raleway"/>
              <w:sz w:val="18"/>
              <w:szCs w:val="18"/>
            </w:rPr>
          </w:pPr>
          <w:r w:rsidRPr="009E22E2">
            <w:rPr>
              <w:rFonts w:ascii="Centaur" w:eastAsia="Raleway" w:hAnsi="Centaur" w:cs="Raleway"/>
              <w:sz w:val="18"/>
              <w:szCs w:val="18"/>
            </w:rPr>
            <w:t>Lesson 4: Student Reading 1</w:t>
          </w:r>
          <w:r w:rsidR="00E0421F" w:rsidRPr="009E22E2">
            <w:rPr>
              <w:rFonts w:ascii="Centaur" w:eastAsia="Raleway" w:hAnsi="Centaur" w:cs="Raleway"/>
              <w:sz w:val="18"/>
              <w:szCs w:val="18"/>
            </w:rPr>
            <w:t xml:space="preserve"> Why don’t antibiotics work like they used to?</w:t>
          </w:r>
        </w:p>
      </w:tc>
      <w:tc>
        <w:tcPr>
          <w:tcW w:w="1628" w:type="dxa"/>
          <w:tcMar>
            <w:top w:w="100" w:type="dxa"/>
            <w:left w:w="100" w:type="dxa"/>
            <w:bottom w:w="100" w:type="dxa"/>
            <w:right w:w="100" w:type="dxa"/>
          </w:tcMar>
        </w:tcPr>
        <w:p w:rsidR="007620D3" w:rsidRDefault="007620D3">
          <w:pPr>
            <w:pStyle w:val="normal0"/>
            <w:widowControl w:val="0"/>
            <w:spacing w:line="240" w:lineRule="auto"/>
            <w:rPr>
              <w:rFonts w:ascii="Raleway" w:eastAsia="Raleway" w:hAnsi="Raleway" w:cs="Raleway"/>
              <w:sz w:val="20"/>
              <w:szCs w:val="20"/>
            </w:rPr>
          </w:pPr>
        </w:p>
      </w:tc>
      <w:tc>
        <w:tcPr>
          <w:tcW w:w="3930" w:type="dxa"/>
          <w:tcMar>
            <w:top w:w="100" w:type="dxa"/>
            <w:left w:w="100" w:type="dxa"/>
            <w:bottom w:w="100" w:type="dxa"/>
            <w:right w:w="100" w:type="dxa"/>
          </w:tcMar>
        </w:tcPr>
        <w:p w:rsidR="007620D3" w:rsidRDefault="007620D3">
          <w:pPr>
            <w:pStyle w:val="normal0"/>
            <w:widowControl w:val="0"/>
            <w:spacing w:line="240" w:lineRule="auto"/>
            <w:rPr>
              <w:sz w:val="18"/>
              <w:szCs w:val="18"/>
            </w:rPr>
          </w:pPr>
        </w:p>
      </w:tc>
    </w:tr>
  </w:tbl>
  <w:p w:rsidR="007620D3" w:rsidRDefault="006A01D9">
    <w:pPr>
      <w:pStyle w:val="normal0"/>
      <w:widowControl w:val="0"/>
      <w:spacing w:line="240" w:lineRule="auto"/>
      <w:rPr>
        <w:sz w:val="12"/>
        <w:szCs w:val="12"/>
      </w:rPr>
    </w:pPr>
    <w:r>
      <w:rPr>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44DA"/>
    <w:multiLevelType w:val="multilevel"/>
    <w:tmpl w:val="1D2A2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67C0838"/>
    <w:multiLevelType w:val="multilevel"/>
    <w:tmpl w:val="1D2A2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787C91"/>
    <w:multiLevelType w:val="multilevel"/>
    <w:tmpl w:val="44784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ED5044F"/>
    <w:multiLevelType w:val="multilevel"/>
    <w:tmpl w:val="D8421580"/>
    <w:lvl w:ilvl="0">
      <w:start w:val="1"/>
      <w:numFmt w:val="bullet"/>
      <w:lvlText w:val="●"/>
      <w:lvlJc w:val="left"/>
      <w:pPr>
        <w:ind w:left="720" w:hanging="360"/>
      </w:pPr>
      <w:rPr>
        <w:rFonts w:ascii="Arial" w:eastAsia="Arial" w:hAnsi="Arial" w:cs="Arial"/>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7620D3"/>
    <w:rsid w:val="00324655"/>
    <w:rsid w:val="00520DA5"/>
    <w:rsid w:val="006A01D9"/>
    <w:rsid w:val="007620D3"/>
    <w:rsid w:val="009E22E2"/>
    <w:rsid w:val="009F275E"/>
    <w:rsid w:val="00A970AB"/>
    <w:rsid w:val="00B44590"/>
    <w:rsid w:val="00BE15F1"/>
    <w:rsid w:val="00E04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AB"/>
  </w:style>
  <w:style w:type="paragraph" w:styleId="Heading1">
    <w:name w:val="heading 1"/>
    <w:basedOn w:val="normal0"/>
    <w:next w:val="normal0"/>
    <w:rsid w:val="007620D3"/>
    <w:pPr>
      <w:keepNext/>
      <w:keepLines/>
      <w:outlineLvl w:val="0"/>
    </w:pPr>
    <w:rPr>
      <w:sz w:val="24"/>
      <w:szCs w:val="24"/>
    </w:rPr>
  </w:style>
  <w:style w:type="paragraph" w:styleId="Heading2">
    <w:name w:val="heading 2"/>
    <w:basedOn w:val="normal0"/>
    <w:next w:val="normal0"/>
    <w:rsid w:val="007620D3"/>
    <w:pPr>
      <w:keepNext/>
      <w:keepLines/>
      <w:outlineLvl w:val="1"/>
    </w:pPr>
    <w:rPr>
      <w:b/>
    </w:rPr>
  </w:style>
  <w:style w:type="paragraph" w:styleId="Heading3">
    <w:name w:val="heading 3"/>
    <w:basedOn w:val="normal0"/>
    <w:next w:val="normal0"/>
    <w:rsid w:val="007620D3"/>
    <w:pPr>
      <w:keepNext/>
      <w:keepLines/>
      <w:spacing w:before="320" w:after="80"/>
      <w:outlineLvl w:val="2"/>
    </w:pPr>
    <w:rPr>
      <w:color w:val="434343"/>
      <w:sz w:val="28"/>
      <w:szCs w:val="28"/>
    </w:rPr>
  </w:style>
  <w:style w:type="paragraph" w:styleId="Heading4">
    <w:name w:val="heading 4"/>
    <w:basedOn w:val="normal0"/>
    <w:next w:val="normal0"/>
    <w:rsid w:val="007620D3"/>
    <w:pPr>
      <w:keepNext/>
      <w:keepLines/>
      <w:spacing w:before="280" w:after="80"/>
      <w:outlineLvl w:val="3"/>
    </w:pPr>
    <w:rPr>
      <w:color w:val="666666"/>
      <w:sz w:val="24"/>
      <w:szCs w:val="24"/>
    </w:rPr>
  </w:style>
  <w:style w:type="paragraph" w:styleId="Heading5">
    <w:name w:val="heading 5"/>
    <w:basedOn w:val="normal0"/>
    <w:next w:val="normal0"/>
    <w:rsid w:val="007620D3"/>
    <w:pPr>
      <w:keepNext/>
      <w:keepLines/>
      <w:spacing w:before="240" w:after="80"/>
      <w:outlineLvl w:val="4"/>
    </w:pPr>
    <w:rPr>
      <w:color w:val="666666"/>
    </w:rPr>
  </w:style>
  <w:style w:type="paragraph" w:styleId="Heading6">
    <w:name w:val="heading 6"/>
    <w:basedOn w:val="normal0"/>
    <w:next w:val="normal0"/>
    <w:rsid w:val="007620D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620D3"/>
  </w:style>
  <w:style w:type="paragraph" w:styleId="Title">
    <w:name w:val="Title"/>
    <w:basedOn w:val="normal0"/>
    <w:next w:val="normal0"/>
    <w:rsid w:val="007620D3"/>
    <w:pPr>
      <w:keepNext/>
      <w:keepLines/>
      <w:spacing w:line="240" w:lineRule="auto"/>
    </w:pPr>
    <w:rPr>
      <w:color w:val="FFFFFF"/>
      <w:sz w:val="28"/>
      <w:szCs w:val="28"/>
    </w:rPr>
  </w:style>
  <w:style w:type="paragraph" w:styleId="Subtitle">
    <w:name w:val="Subtitle"/>
    <w:basedOn w:val="normal0"/>
    <w:next w:val="normal0"/>
    <w:rsid w:val="007620D3"/>
    <w:pPr>
      <w:keepNext/>
      <w:keepLines/>
      <w:spacing w:after="320"/>
    </w:pPr>
    <w:rPr>
      <w:rFonts w:ascii="Arial" w:eastAsia="Arial" w:hAnsi="Arial" w:cs="Arial"/>
      <w:color w:val="666666"/>
      <w:sz w:val="30"/>
      <w:szCs w:val="30"/>
    </w:rPr>
  </w:style>
  <w:style w:type="table" w:customStyle="1" w:styleId="a">
    <w:basedOn w:val="TableNormal"/>
    <w:rsid w:val="007620D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620D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7620D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7620D3"/>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E15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F1"/>
    <w:rPr>
      <w:rFonts w:ascii="Tahoma" w:hAnsi="Tahoma" w:cs="Tahoma"/>
      <w:sz w:val="16"/>
      <w:szCs w:val="16"/>
    </w:rPr>
  </w:style>
  <w:style w:type="paragraph" w:styleId="Header">
    <w:name w:val="header"/>
    <w:basedOn w:val="Normal"/>
    <w:link w:val="HeaderChar"/>
    <w:uiPriority w:val="99"/>
    <w:semiHidden/>
    <w:unhideWhenUsed/>
    <w:rsid w:val="0032465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4655"/>
  </w:style>
  <w:style w:type="paragraph" w:styleId="Footer">
    <w:name w:val="footer"/>
    <w:basedOn w:val="Normal"/>
    <w:link w:val="FooterChar"/>
    <w:uiPriority w:val="99"/>
    <w:semiHidden/>
    <w:unhideWhenUsed/>
    <w:rsid w:val="0032465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246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dc.gov/features/antibioticresist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nhs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2461</Characters>
  <Application>Microsoft Office Word</Application>
  <DocSecurity>0</DocSecurity>
  <Lines>20</Lines>
  <Paragraphs>5</Paragraphs>
  <ScaleCrop>false</ScaleCrop>
  <Company>Cascade Technology Alliance</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Darlak, Amanda</dc:creator>
  <cp:lastModifiedBy>adarlak</cp:lastModifiedBy>
  <cp:revision>6</cp:revision>
  <dcterms:created xsi:type="dcterms:W3CDTF">2019-02-01T23:44:00Z</dcterms:created>
  <dcterms:modified xsi:type="dcterms:W3CDTF">2019-02-06T03:30:00Z</dcterms:modified>
</cp:coreProperties>
</file>